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0F79F">
      <w:pPr>
        <w:spacing w:after="0"/>
        <w:jc w:val="center"/>
        <w:rPr>
          <w:rFonts w:hint="default"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</w:rPr>
        <w:t>Note</w:t>
      </w:r>
      <w:r>
        <w:rPr>
          <w:rFonts w:hint="default" w:ascii="Arial" w:hAnsi="Arial" w:cs="Arial"/>
          <w:b/>
          <w:sz w:val="32"/>
          <w:szCs w:val="32"/>
          <w:lang w:val="en-US"/>
        </w:rPr>
        <w:t xml:space="preserve"> for</w:t>
      </w:r>
      <w:bookmarkStart w:id="0" w:name="_GoBack"/>
      <w:bookmarkEnd w:id="0"/>
      <w:r>
        <w:rPr>
          <w:rFonts w:hint="default" w:ascii="Arial" w:hAnsi="Arial" w:cs="Arial"/>
          <w:b/>
          <w:sz w:val="32"/>
          <w:szCs w:val="32"/>
          <w:lang w:val="en-US"/>
        </w:rPr>
        <w:t xml:space="preserve"> Pension Revision case</w:t>
      </w:r>
    </w:p>
    <w:p w14:paraId="309598C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the outset I convey my thanks for having a fruitful virtual meeting today.</w:t>
      </w:r>
    </w:p>
    <w:p w14:paraId="1ADBE21A">
      <w:pPr>
        <w:spacing w:after="0"/>
        <w:rPr>
          <w:rFonts w:ascii="Arial" w:hAnsi="Arial" w:cs="Arial"/>
          <w:sz w:val="24"/>
          <w:szCs w:val="24"/>
        </w:rPr>
      </w:pPr>
    </w:p>
    <w:p w14:paraId="254A975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we summarise the Delhi HC judgement and the points which have to be effectively countered are:</w:t>
      </w:r>
    </w:p>
    <w:p w14:paraId="130A3CEC">
      <w:pPr>
        <w:pStyle w:val="4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 Revision Committee (PRC) has nothing to do with pension revision of BSNL/MTNL</w:t>
      </w:r>
    </w:p>
    <w:p w14:paraId="3A0BBF60">
      <w:pPr>
        <w:pStyle w:val="4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Central DA (CDA)  and Industrial DA (IDA) – </w:t>
      </w:r>
      <w:r>
        <w:rPr>
          <w:rFonts w:ascii="Arial" w:hAnsi="Arial" w:cs="Arial"/>
          <w:b/>
          <w:sz w:val="24"/>
          <w:szCs w:val="24"/>
        </w:rPr>
        <w:t>Both are calculated on the basis of 100% neutralization of Consumer Price Index (CPI) – V CPC (1996) gave it for CDA and First PRC (1997) gave it for IDA – CDA is calculated on the basis of 12 months average and paid twice an year – IDA is calculated on the basis of 3 months average and paid quarterly – CDA pattern DA is more compared to IDA pattern DA – For example as on 1/1/2016 DA on CDA was 125% and DA on IDA was 112.4% - As on 1/7/2026 DA on CDA was 63% - and DA on IDA was 55.7%</w:t>
      </w:r>
    </w:p>
    <w:p w14:paraId="3A2EAE67">
      <w:pPr>
        <w:pStyle w:val="4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IDA pay is mandatory as per SC judgement delivered on </w:t>
      </w:r>
      <w:r>
        <w:rPr>
          <w:rFonts w:ascii="Arial" w:hAnsi="Arial" w:cs="Arial"/>
          <w:b/>
          <w:sz w:val="24"/>
          <w:szCs w:val="24"/>
        </w:rPr>
        <w:t>3/5/1990</w:t>
      </w:r>
      <w:r>
        <w:rPr>
          <w:rFonts w:ascii="Arial" w:hAnsi="Arial" w:cs="Arial"/>
          <w:sz w:val="24"/>
          <w:szCs w:val="24"/>
        </w:rPr>
        <w:t xml:space="preserve"> in Jute Corporation case – So, it can’t be a reason to deny CPC benefit</w:t>
      </w:r>
    </w:p>
    <w:p w14:paraId="7777DD77">
      <w:pPr>
        <w:pStyle w:val="4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Sub-rule 4 of Rule 37A was mentioned in nearly 25 places in the judgement – It has to be countered by quoting SC judgement dated </w:t>
      </w:r>
      <w:r>
        <w:rPr>
          <w:rFonts w:ascii="Arial" w:hAnsi="Arial" w:cs="Arial"/>
          <w:b/>
          <w:sz w:val="24"/>
          <w:szCs w:val="24"/>
        </w:rPr>
        <w:t>15/12/1995</w:t>
      </w:r>
      <w:r>
        <w:rPr>
          <w:rFonts w:ascii="Arial" w:hAnsi="Arial" w:cs="Arial"/>
          <w:sz w:val="24"/>
          <w:szCs w:val="24"/>
        </w:rPr>
        <w:t xml:space="preserve"> – Further, inspite of similar provision in sub-rule 3 of Secn 12A of FCI Act, 1964, SC gave a judgement on </w:t>
      </w:r>
      <w:r>
        <w:rPr>
          <w:rFonts w:ascii="Arial" w:hAnsi="Arial" w:cs="Arial"/>
          <w:b/>
          <w:sz w:val="24"/>
          <w:szCs w:val="24"/>
        </w:rPr>
        <w:t xml:space="preserve">10/2/2010 </w:t>
      </w:r>
      <w:r>
        <w:rPr>
          <w:rFonts w:ascii="Arial" w:hAnsi="Arial" w:cs="Arial"/>
          <w:sz w:val="24"/>
          <w:szCs w:val="24"/>
        </w:rPr>
        <w:t>in favour of pensioners – In addition, Rule 37A should be read holisitically and not in isolation, that is how PB, CAT narration says</w:t>
      </w:r>
    </w:p>
    <w:p w14:paraId="6B64EAD2">
      <w:pPr>
        <w:pStyle w:val="4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Contradiction in HC judgement – Between Para 169 &amp; 173/180 – 169 says 2.9.2008 OM is applicable to BSNL IDA pensioners but 173 &amp; 180 contradicts this</w:t>
      </w:r>
    </w:p>
    <w:p w14:paraId="19D7B358">
      <w:pPr>
        <w:pStyle w:val="4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to expose para 132 &amp; 133 (Note 10 under Rule 33)</w:t>
      </w:r>
    </w:p>
    <w:p w14:paraId="794C9BDD">
      <w:pPr>
        <w:pStyle w:val="4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Most important is the order issued by Department of Food &amp; Public Distribution on 13/12/2023 extending the benefit of 7</w:t>
      </w:r>
      <w:r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CPC fitment factor of 2.57 from 1/1/2016 ( 4/8/2016 OM of DoP&amp;PW) to food transferees who are getting pension in IDA) – </w:t>
      </w:r>
      <w:r>
        <w:rPr>
          <w:rFonts w:ascii="Arial" w:hAnsi="Arial" w:cs="Arial"/>
          <w:b/>
          <w:i/>
          <w:sz w:val="24"/>
          <w:szCs w:val="24"/>
          <w:u w:val="single"/>
        </w:rPr>
        <w:t xml:space="preserve">This is to counter UoI argument that CPC is only for CDA pensioners &amp; not for IDA pensioners </w:t>
      </w:r>
      <w:r>
        <w:rPr>
          <w:rFonts w:ascii="Arial" w:hAnsi="Arial" w:cs="Arial"/>
          <w:sz w:val="24"/>
          <w:szCs w:val="24"/>
        </w:rPr>
        <w:t xml:space="preserve">  - In 2007, FCI employees got pay revision as per 2</w:t>
      </w:r>
      <w:r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PRC and the same benefit was extended to food transferees from 1/1/2007 – All the food transferees retired by 2009 – So, there was no food transferee in 2017 – FCI employees got the benefit of 3</w:t>
      </w:r>
      <w:r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PRC from 1/1/2017and Food transferees got the benefit of 7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CPC from 1/1/2016 (BSNL has only about 17,000 out of 3.5 lakhs absorbees in the beginning of 2026 and all may be out by this year end</w:t>
      </w:r>
    </w:p>
    <w:p w14:paraId="2218B53B">
      <w:pPr>
        <w:pStyle w:val="4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 the case of BSNL/MTNL because of non</w:t>
      </w:r>
      <w:r>
        <w:rPr>
          <w:rFonts w:ascii="Arial" w:hAnsi="Arial" w:cs="Arial"/>
          <w:sz w:val="24"/>
          <w:szCs w:val="24"/>
        </w:rPr>
        <w:t xml:space="preserve">-viability of financial position no pay revision took place for the employees who were in service in 2017 – For pension revision, financial viability of BSNL/MTNL has no bearing because 100% liability of paying pension/FP lies with the Government as per DoT OM dated </w:t>
      </w:r>
      <w:r>
        <w:rPr>
          <w:rFonts w:ascii="Arial" w:hAnsi="Arial" w:cs="Arial"/>
          <w:b/>
          <w:sz w:val="24"/>
          <w:szCs w:val="24"/>
        </w:rPr>
        <w:t>20/7/2016</w:t>
      </w:r>
      <w:r>
        <w:rPr>
          <w:rFonts w:ascii="Arial" w:hAnsi="Arial" w:cs="Arial"/>
          <w:sz w:val="24"/>
          <w:szCs w:val="24"/>
        </w:rPr>
        <w:t xml:space="preserve"> – Pensioners retired prior to 2017 or after 2017 are on the same page – </w:t>
      </w:r>
      <w:r>
        <w:rPr>
          <w:rFonts w:ascii="Arial" w:hAnsi="Arial" w:cs="Arial"/>
          <w:b/>
          <w:i/>
          <w:sz w:val="24"/>
          <w:szCs w:val="24"/>
        </w:rPr>
        <w:t>So, the stand of UoI that since there is no pay revision asper 3</w:t>
      </w:r>
      <w:r>
        <w:rPr>
          <w:rFonts w:ascii="Arial" w:hAnsi="Arial" w:cs="Arial"/>
          <w:b/>
          <w:i/>
          <w:sz w:val="24"/>
          <w:szCs w:val="24"/>
          <w:vertAlign w:val="superscript"/>
        </w:rPr>
        <w:t>rd</w:t>
      </w:r>
      <w:r>
        <w:rPr>
          <w:rFonts w:ascii="Arial" w:hAnsi="Arial" w:cs="Arial"/>
          <w:b/>
          <w:i/>
          <w:sz w:val="24"/>
          <w:szCs w:val="24"/>
        </w:rPr>
        <w:t xml:space="preserve"> PRC no pension revision is possible has to be countered</w:t>
      </w:r>
    </w:p>
    <w:p w14:paraId="438F4011">
      <w:pPr>
        <w:pStyle w:val="4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no bench-mark or guidelines for pension revision to BSNL/MTNL absorbees and because of this lacunae, basic pension of these absorbees cannot be static especially when most of them have served the Govt. not less than 20 years – After retirement, they are government pensioners because they are covered under CCS (Pension) Rules.</w:t>
      </w:r>
    </w:p>
    <w:p w14:paraId="61ACDBD4">
      <w:pPr>
        <w:pStyle w:val="4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Referring to para 125 of the judgement, we can quote para 11 of Delhi HC judgement dated 24/1/2020 </w:t>
      </w:r>
    </w:p>
    <w:p w14:paraId="76360C93">
      <w:pPr>
        <w:pStyle w:val="4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Kerala HC judgement dated 7/2/2025 &amp; 24/3/2026 should be highlighted</w:t>
      </w:r>
    </w:p>
    <w:p w14:paraId="78D93106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57CC0591">
      <w:pPr>
        <w:pStyle w:val="4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Regards - D Gopalakrishnan 5/9/2026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</w:p>
    <w:sectPr>
      <w:pgSz w:w="11907" w:h="16839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BA5221"/>
    <w:multiLevelType w:val="multilevel"/>
    <w:tmpl w:val="40BA5221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9F"/>
    <w:rsid w:val="000376EE"/>
    <w:rsid w:val="0009470A"/>
    <w:rsid w:val="000D536E"/>
    <w:rsid w:val="0042165E"/>
    <w:rsid w:val="005D4708"/>
    <w:rsid w:val="00634159"/>
    <w:rsid w:val="00910A34"/>
    <w:rsid w:val="009461C2"/>
    <w:rsid w:val="00CA699F"/>
    <w:rsid w:val="00EB4153"/>
    <w:rsid w:val="00F7280E"/>
    <w:rsid w:val="227F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617</Words>
  <Characters>2739</Characters>
  <Lines>23</Lines>
  <Paragraphs>6</Paragraphs>
  <TotalTime>79</TotalTime>
  <ScaleCrop>false</ScaleCrop>
  <LinksUpToDate>false</LinksUpToDate>
  <CharactersWithSpaces>3346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2026-09-05T13:12:00Z</dcterms:created>
  <dc:creator>GK</dc:creator>
  <cp:lastModifiedBy>PV</cp:lastModifiedBy>
  <dcterms:modified xsi:type="dcterms:W3CDTF">2026-09-06T19:23:26Z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eyJoZGlkIjoiZjBlMTliNDljZWZhZWViNzRiMjBkNDE2MTFlZTlmYTgiLCJ1c2VySWQiOiI1Njc0ODU5NjI2OTkifQ==</vt:lpwstr>
  </property>
  <property fmtid="{D5CDD505-2E9C-101B-9397-08002B2CF9AE}" pid="3" name="KSOProductBuildVer">
    <vt:lpwstr>1033-12.1.0.28032</vt:lpwstr>
  </property>
  <property fmtid="{D5CDD505-2E9C-101B-9397-08002B2CF9AE}" pid="4" name="ICV">
    <vt:lpwstr>8C98E58885B246C38D20B83117B95F0F_13</vt:lpwstr>
  </property>
</Properties>
</file>